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D3C4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/>
        <w:ind w:right="0"/>
        <w:jc w:val="both"/>
        <w:textAlignment w:val="auto"/>
      </w:pPr>
      <w:r>
        <w:t xml:space="preserve">附件 1 </w:t>
      </w:r>
    </w:p>
    <w:p w14:paraId="1CD6B5B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/>
        <w:ind w:left="440" w:leftChars="200" w:right="0"/>
        <w:jc w:val="both"/>
        <w:textAlignment w:val="auto"/>
        <w:rPr>
          <w:sz w:val="29"/>
        </w:rPr>
      </w:pPr>
    </w:p>
    <w:p w14:paraId="75F9767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74" w:lineRule="auto"/>
        <w:ind w:left="0" w:leftChars="0" w:right="0" w:firstLine="0" w:firstLineChars="0"/>
        <w:jc w:val="center"/>
        <w:textAlignment w:val="auto"/>
      </w:pPr>
      <w:bookmarkStart w:id="0" w:name="_GoBack"/>
      <w:r>
        <w:t>辽宁省教育会计学会202</w:t>
      </w:r>
      <w:r>
        <w:rPr>
          <w:rFonts w:hint="eastAsia"/>
          <w:lang w:val="en-US" w:eastAsia="zh-CN"/>
        </w:rPr>
        <w:t>4</w:t>
      </w:r>
      <w:r>
        <w:t>度学术研究课题立项指南</w:t>
      </w:r>
    </w:p>
    <w:bookmarkEnd w:id="0"/>
    <w:p w14:paraId="79283E0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一、课题立项指导思想</w:t>
      </w:r>
    </w:p>
    <w:p w14:paraId="55CFAD1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rightChars="0" w:firstLine="636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pacing w:val="-1"/>
          <w:sz w:val="32"/>
          <w:szCs w:val="32"/>
        </w:rPr>
        <w:t>以习近平新时代中国特色社会主义思想为指导，</w:t>
      </w:r>
      <w:r>
        <w:rPr>
          <w:rFonts w:hint="eastAsia" w:ascii="仿宋" w:hAnsi="仿宋" w:eastAsia="仿宋" w:cs="仿宋"/>
          <w:spacing w:val="-1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全面贯彻落</w:t>
      </w:r>
      <w:r>
        <w:rPr>
          <w:rFonts w:hint="eastAsia" w:ascii="仿宋" w:hAnsi="仿宋" w:eastAsia="仿宋" w:cs="仿宋"/>
          <w:sz w:val="32"/>
          <w:szCs w:val="32"/>
        </w:rPr>
        <w:t>习近平总书记在新时代推动东北全面振兴座谈会的讲话精神，充分发挥东北高校在东北全面振兴中的助力作用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选题紧密围绕国家财政体制改革和教育财务管理面临的新形势、新任务、新</w:t>
      </w:r>
      <w:r>
        <w:rPr>
          <w:rFonts w:hint="eastAsia" w:ascii="仿宋" w:hAnsi="仿宋" w:eastAsia="仿宋" w:cs="仿宋"/>
          <w:sz w:val="32"/>
          <w:szCs w:val="32"/>
        </w:rPr>
        <w:t>需求，聚焦我省教育财务管理工作理论与实践前沿和热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点、难点问题，力求为我省高等教育财务管理提供理论指</w:t>
      </w:r>
      <w:r>
        <w:rPr>
          <w:rFonts w:hint="eastAsia" w:ascii="仿宋" w:hAnsi="仿宋" w:eastAsia="仿宋" w:cs="仿宋"/>
          <w:sz w:val="32"/>
          <w:szCs w:val="32"/>
        </w:rPr>
        <w:t>导和实践借鉴。</w:t>
      </w:r>
    </w:p>
    <w:p w14:paraId="73FA020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课题研究要保证质量，基础理论研究要力求原创性、创新性；实践应用研究要突出针对性和实效性，对实际工作起到指导和引领作用。</w:t>
      </w:r>
    </w:p>
    <w:p w14:paraId="1C9B824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二、课题立项范围</w:t>
      </w:r>
    </w:p>
    <w:p w14:paraId="3E6FCBF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普通本科高校：</w:t>
      </w:r>
    </w:p>
    <w:p w14:paraId="366FEA1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新“会计法”实施后，财会人员职业道德及会计法律责任的相关问题研究</w:t>
      </w:r>
    </w:p>
    <w:p w14:paraId="415C39A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高校财会监督、审计监督和纪检监察监督融合机制研究</w:t>
      </w:r>
    </w:p>
    <w:p w14:paraId="31BAE15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大数据和人工智能在高校财务管理中创新应用研究</w:t>
      </w:r>
    </w:p>
    <w:p w14:paraId="69D6944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大数据背景下的会计决策支持系统研究</w:t>
      </w:r>
    </w:p>
    <w:p w14:paraId="7C11F5D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基于大数据的高校财务风险识别与应对策略研究</w:t>
      </w:r>
    </w:p>
    <w:p w14:paraId="0A6E611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财务信息共享下的高校业财融合研究</w:t>
      </w:r>
    </w:p>
    <w:p w14:paraId="4A89FCF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数智化转型背景下财会人员的挑战、机遇与对策研究</w:t>
      </w:r>
    </w:p>
    <w:p w14:paraId="4B15A60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加强全面预算管理，促进高校降本增效案例研究</w:t>
      </w:r>
    </w:p>
    <w:p w14:paraId="5E4F45A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九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管理会计在高校全面预算管理中的应用案例研究</w:t>
      </w:r>
    </w:p>
    <w:p w14:paraId="423D513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基于分级管理的高校二级单位财务监督体系建设研究</w:t>
      </w:r>
    </w:p>
    <w:p w14:paraId="4E2B127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高校实施成本核算相关问题研究</w:t>
      </w:r>
    </w:p>
    <w:p w14:paraId="075C92A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零基预算在高校绩效管理应用研究</w:t>
      </w:r>
    </w:p>
    <w:p w14:paraId="655BBA5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十三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新时期高校其它财务会计热点难点问题研究</w:t>
      </w:r>
    </w:p>
    <w:p w14:paraId="463C2A3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高职高专院校：</w:t>
      </w:r>
    </w:p>
    <w:p w14:paraId="6BDD575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高职院校“过紧日子”的预算绩效管理研究</w:t>
      </w:r>
    </w:p>
    <w:p w14:paraId="0C63375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高职院校“双高”背景下内部控制体系研究</w:t>
      </w:r>
    </w:p>
    <w:p w14:paraId="3970240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高职院校财务数字化转型路径研究</w:t>
      </w:r>
    </w:p>
    <w:p w14:paraId="3C8956D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高职院校管理会计工具应用研究</w:t>
      </w:r>
    </w:p>
    <w:p w14:paraId="5CF0D1E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高职院校成本核算管理方案设计研究</w:t>
      </w:r>
    </w:p>
    <w:p w14:paraId="4369FCA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审计视角下高职院校财政专项资金管理研究</w:t>
      </w:r>
    </w:p>
    <w:p w14:paraId="33DFBC9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高职院校预算一体化管理方法与路径研究</w:t>
      </w:r>
    </w:p>
    <w:p w14:paraId="3CED741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高职院校基于专业大类的生均教育成本研究</w:t>
      </w:r>
    </w:p>
    <w:p w14:paraId="00732F7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高职院校财会监督与经费监管的探索研究</w:t>
      </w:r>
    </w:p>
    <w:p w14:paraId="3A3630E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高职院校其它财务问题研究</w:t>
      </w:r>
    </w:p>
    <w:p w14:paraId="52C5CAE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课题研究人员可参考上述课题立项范围，自定研究课题名称。</w:t>
      </w:r>
    </w:p>
    <w:p w14:paraId="03CFB9E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left="0" w:leftChars="0"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三、相关要求</w:t>
      </w:r>
    </w:p>
    <w:p w14:paraId="017DC56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（一）课提申报人应严于律己，遵循学术研究一般规律，遵守学术研究操守。</w:t>
      </w:r>
    </w:p>
    <w:p w14:paraId="0BCD158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（二）每个单位申报的课题数量和选题应与研究团队专业方向、科研能力相适应。保证及时申报，按时完成。</w:t>
      </w:r>
    </w:p>
    <w:p w14:paraId="78D779F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0" w:line="360" w:lineRule="auto"/>
        <w:ind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8B462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标准粗黑">
    <w:panose1 w:val="02000503000000000000"/>
    <w:charset w:val="86"/>
    <w:family w:val="auto"/>
    <w:pitch w:val="default"/>
    <w:sig w:usb0="8000002F" w:usb1="084164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7415F4"/>
    <w:rsid w:val="2374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3091" w:right="1264" w:hanging="1760"/>
      <w:outlineLvl w:val="1"/>
    </w:pPr>
    <w:rPr>
      <w:rFonts w:ascii="华文中宋" w:hAnsi="华文中宋" w:eastAsia="华文中宋" w:cs="华文中宋"/>
      <w:b/>
      <w:bCs/>
      <w:sz w:val="44"/>
      <w:szCs w:val="4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52"/>
      <w:ind w:left="1343"/>
      <w:outlineLvl w:val="2"/>
    </w:pPr>
    <w:rPr>
      <w:rFonts w:ascii="Microsoft JhengHei" w:hAnsi="Microsoft JhengHei" w:eastAsia="Microsoft JhengHei" w:cs="Microsoft JhengHei"/>
      <w:b/>
      <w:bCs/>
      <w:sz w:val="32"/>
      <w:szCs w:val="32"/>
      <w:lang w:val="zh-CN" w:eastAsia="zh-CN" w:bidi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2024-11-28T01:18:00Z</dcterms:created>
  <dc:creator>张佳雯</dc:creator>
  <cp:lastModifiedBy>张佳雯</cp:lastModifiedBy>
  <dcterms:modified xsi:type="dcterms:W3CDTF">2024-11-28T01:19:31Z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CF304F5D469B41F1AF77AD98705C321B_11</vt:lpwstr>
  </property>
</Properties>
</file>